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5787E" w14:textId="77777777" w:rsidR="00BB2536" w:rsidRPr="00D74C8A" w:rsidRDefault="00BB2536" w:rsidP="00207F66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D74C8A">
        <w:rPr>
          <w:rFonts w:ascii="Times New Roman" w:hAnsi="Times New Roman" w:cs="Times New Roman"/>
          <w:b/>
          <w:bCs/>
          <w:sz w:val="36"/>
          <w:szCs w:val="36"/>
        </w:rPr>
        <w:t>Rep. Barr – Testimony</w:t>
      </w:r>
    </w:p>
    <w:p w14:paraId="51EC339E" w14:textId="77777777" w:rsidR="00BB2536" w:rsidRPr="00D74C8A" w:rsidRDefault="00BB2536" w:rsidP="00207F6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74C8A">
        <w:rPr>
          <w:rFonts w:ascii="Times New Roman" w:hAnsi="Times New Roman" w:cs="Times New Roman"/>
          <w:b/>
          <w:bCs/>
          <w:sz w:val="24"/>
          <w:szCs w:val="24"/>
        </w:rPr>
        <w:t>Equine Tax Items:</w:t>
      </w:r>
    </w:p>
    <w:p w14:paraId="313E4176" w14:textId="168867F9" w:rsidR="00EB2BD6" w:rsidRPr="00037C0B" w:rsidRDefault="00037C0B" w:rsidP="00207F66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A Return to 100% Bonus Depreciation</w:t>
      </w:r>
    </w:p>
    <w:p w14:paraId="29CBB7A6" w14:textId="71EBAA40" w:rsidR="00037C0B" w:rsidRPr="00EB2BD6" w:rsidRDefault="00041439" w:rsidP="00207F66">
      <w:pPr>
        <w:pStyle w:val="ListParagraph"/>
        <w:numPr>
          <w:ilvl w:val="1"/>
          <w:numId w:val="1"/>
        </w:numPr>
        <w:spacing w:after="0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This provision </w:t>
      </w:r>
      <w:r w:rsidR="00124429">
        <w:rPr>
          <w:sz w:val="24"/>
          <w:szCs w:val="24"/>
        </w:rPr>
        <w:t xml:space="preserve">is vital to the horse industry in central Kentucky – not only for the </w:t>
      </w:r>
      <w:r w:rsidR="000C4231">
        <w:rPr>
          <w:sz w:val="24"/>
          <w:szCs w:val="24"/>
        </w:rPr>
        <w:t>trainers and owners, but breeders, farms, and smaller businesses – many of whom would not be able to participate if it wasn’t for the bonus</w:t>
      </w:r>
      <w:r w:rsidR="004A3009">
        <w:rPr>
          <w:sz w:val="24"/>
          <w:szCs w:val="24"/>
        </w:rPr>
        <w:t xml:space="preserve"> depreciation incentive. </w:t>
      </w:r>
    </w:p>
    <w:p w14:paraId="5BD90D1A" w14:textId="095014A1" w:rsidR="008E4A04" w:rsidRPr="00D74C8A" w:rsidRDefault="001F02A4" w:rsidP="00207F66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  <w:u w:val="single"/>
        </w:rPr>
      </w:pPr>
      <w:r w:rsidRPr="00D74C8A">
        <w:rPr>
          <w:sz w:val="24"/>
          <w:szCs w:val="24"/>
        </w:rPr>
        <w:t>Racehorse</w:t>
      </w:r>
      <w:r w:rsidR="00BB2536" w:rsidRPr="00D74C8A">
        <w:rPr>
          <w:sz w:val="24"/>
          <w:szCs w:val="24"/>
        </w:rPr>
        <w:t xml:space="preserve"> Cost Recovery Act</w:t>
      </w:r>
    </w:p>
    <w:p w14:paraId="105330A6" w14:textId="77777777" w:rsidR="00743E93" w:rsidRPr="00743E93" w:rsidRDefault="00BB2536" w:rsidP="00743E93">
      <w:pPr>
        <w:pStyle w:val="ListParagraph"/>
        <w:numPr>
          <w:ilvl w:val="1"/>
          <w:numId w:val="1"/>
        </w:numPr>
        <w:spacing w:after="0"/>
        <w:rPr>
          <w:b/>
          <w:bCs/>
          <w:sz w:val="24"/>
          <w:szCs w:val="24"/>
          <w:u w:val="single"/>
        </w:rPr>
      </w:pPr>
      <w:r w:rsidRPr="00D74C8A">
        <w:rPr>
          <w:sz w:val="24"/>
          <w:szCs w:val="24"/>
        </w:rPr>
        <w:t>This legislation makes permanent the modification of the accelerated depreciation allowance for racehorses to allow a three-year recovery period for any racehorse</w:t>
      </w:r>
      <w:r w:rsidR="008E4A04" w:rsidRPr="00D74C8A">
        <w:rPr>
          <w:sz w:val="24"/>
          <w:szCs w:val="24"/>
        </w:rPr>
        <w:t>.</w:t>
      </w:r>
    </w:p>
    <w:p w14:paraId="14FDC05C" w14:textId="1E03BC15" w:rsidR="00331907" w:rsidRPr="00743E93" w:rsidRDefault="00331907" w:rsidP="00743E93">
      <w:pPr>
        <w:pStyle w:val="ListParagraph"/>
        <w:numPr>
          <w:ilvl w:val="1"/>
          <w:numId w:val="1"/>
        </w:numPr>
        <w:spacing w:after="0"/>
        <w:rPr>
          <w:b/>
          <w:bCs/>
          <w:sz w:val="24"/>
          <w:szCs w:val="24"/>
          <w:u w:val="single"/>
        </w:rPr>
      </w:pPr>
      <w:r w:rsidRPr="00743E93">
        <w:rPr>
          <w:sz w:val="24"/>
          <w:szCs w:val="24"/>
        </w:rPr>
        <w:t xml:space="preserve">Currently, the default is seven years, but </w:t>
      </w:r>
      <w:r w:rsidR="00B91CCF" w:rsidRPr="00743E93">
        <w:rPr>
          <w:sz w:val="24"/>
          <w:szCs w:val="24"/>
        </w:rPr>
        <w:t xml:space="preserve">realistically </w:t>
      </w:r>
      <w:r w:rsidRPr="00743E93">
        <w:rPr>
          <w:sz w:val="24"/>
          <w:szCs w:val="24"/>
        </w:rPr>
        <w:t xml:space="preserve">the useful life of that asset is three years. </w:t>
      </w:r>
    </w:p>
    <w:p w14:paraId="4E76DCCD" w14:textId="237728AE" w:rsidR="00331907" w:rsidRPr="00D74C8A" w:rsidRDefault="00331907" w:rsidP="00207F66">
      <w:pPr>
        <w:pStyle w:val="ListParagraph"/>
        <w:numPr>
          <w:ilvl w:val="1"/>
          <w:numId w:val="1"/>
        </w:numPr>
        <w:spacing w:after="0"/>
        <w:rPr>
          <w:b/>
          <w:bCs/>
          <w:sz w:val="24"/>
          <w:szCs w:val="24"/>
          <w:u w:val="single"/>
        </w:rPr>
      </w:pPr>
      <w:r w:rsidRPr="00D74C8A">
        <w:rPr>
          <w:sz w:val="24"/>
          <w:szCs w:val="24"/>
        </w:rPr>
        <w:t xml:space="preserve">This encourages investment in racehorses </w:t>
      </w:r>
      <w:r w:rsidR="0004118A" w:rsidRPr="00D74C8A">
        <w:rPr>
          <w:sz w:val="24"/>
          <w:szCs w:val="24"/>
        </w:rPr>
        <w:t xml:space="preserve">and this dynamic industry. </w:t>
      </w:r>
    </w:p>
    <w:p w14:paraId="573ABF3C" w14:textId="2AC18020" w:rsidR="00BB2536" w:rsidRPr="00D74C8A" w:rsidRDefault="00BB2536" w:rsidP="00207F66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  <w:u w:val="single"/>
        </w:rPr>
      </w:pPr>
      <w:r w:rsidRPr="00D74C8A">
        <w:rPr>
          <w:sz w:val="24"/>
          <w:szCs w:val="24"/>
        </w:rPr>
        <w:t>Racehorse Tax Parity Act</w:t>
      </w:r>
    </w:p>
    <w:p w14:paraId="03C7420F" w14:textId="77777777" w:rsidR="00BB2536" w:rsidRPr="00D74C8A" w:rsidRDefault="00BB2536" w:rsidP="00207F66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 w:rsidRPr="00D74C8A">
        <w:rPr>
          <w:sz w:val="24"/>
          <w:szCs w:val="24"/>
        </w:rPr>
        <w:t>The Racehorse Tax Parity Act would shorten the holding period for racehorses to be considered eligible for long-term capital gains treatment from 24 months to 12 months.</w:t>
      </w:r>
    </w:p>
    <w:p w14:paraId="059EE36C" w14:textId="59DE92DD" w:rsidR="00207F66" w:rsidRPr="00207F66" w:rsidRDefault="0004118A" w:rsidP="00207F66">
      <w:pPr>
        <w:pStyle w:val="ListParagraph"/>
        <w:numPr>
          <w:ilvl w:val="1"/>
          <w:numId w:val="1"/>
        </w:numPr>
        <w:spacing w:before="240"/>
        <w:rPr>
          <w:sz w:val="24"/>
          <w:szCs w:val="24"/>
        </w:rPr>
      </w:pPr>
      <w:r w:rsidRPr="00D74C8A">
        <w:rPr>
          <w:sz w:val="24"/>
          <w:szCs w:val="24"/>
        </w:rPr>
        <w:t>We need to level the playing field on th</w:t>
      </w:r>
      <w:r w:rsidR="004A6793" w:rsidRPr="00D74C8A">
        <w:rPr>
          <w:sz w:val="24"/>
          <w:szCs w:val="24"/>
        </w:rPr>
        <w:t xml:space="preserve">at asset class and make it a </w:t>
      </w:r>
      <w:r w:rsidR="00F37A06" w:rsidRPr="00D74C8A">
        <w:rPr>
          <w:sz w:val="24"/>
          <w:szCs w:val="24"/>
        </w:rPr>
        <w:t>12-month</w:t>
      </w:r>
      <w:r w:rsidR="004A6793" w:rsidRPr="00D74C8A">
        <w:rPr>
          <w:sz w:val="24"/>
          <w:szCs w:val="24"/>
        </w:rPr>
        <w:t xml:space="preserve"> holding period in order to get that capital gain treatment. </w:t>
      </w:r>
    </w:p>
    <w:p w14:paraId="16E0B63E" w14:textId="63DE327F" w:rsidR="0091023D" w:rsidRPr="00430C0D" w:rsidRDefault="0091023D" w:rsidP="00686C4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30C0D">
        <w:rPr>
          <w:rFonts w:ascii="Times New Roman" w:hAnsi="Times New Roman" w:cs="Times New Roman"/>
          <w:b/>
          <w:bCs/>
          <w:sz w:val="24"/>
          <w:szCs w:val="24"/>
        </w:rPr>
        <w:t xml:space="preserve">Opportunity Zones </w:t>
      </w:r>
    </w:p>
    <w:p w14:paraId="796AAF8C" w14:textId="4F69FDAB" w:rsidR="00207F66" w:rsidRPr="00207F66" w:rsidRDefault="0091023D" w:rsidP="00686C4D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Tax paying banks want </w:t>
      </w:r>
      <w:r w:rsidR="00743E93">
        <w:rPr>
          <w:sz w:val="24"/>
          <w:szCs w:val="24"/>
        </w:rPr>
        <w:t>to</w:t>
      </w:r>
      <w:r>
        <w:rPr>
          <w:sz w:val="24"/>
          <w:szCs w:val="24"/>
        </w:rPr>
        <w:t xml:space="preserve"> level </w:t>
      </w:r>
      <w:r w:rsidR="00743E93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playing field with credit unions. </w:t>
      </w:r>
      <w:r w:rsidR="00207F66">
        <w:rPr>
          <w:sz w:val="24"/>
          <w:szCs w:val="24"/>
        </w:rPr>
        <w:t xml:space="preserve">We should be using tax incentives to supercharge lending to individuals and small businesses in low-and-moderate income communities. </w:t>
      </w:r>
      <w:r w:rsidR="00D51C38">
        <w:rPr>
          <w:sz w:val="24"/>
          <w:szCs w:val="24"/>
        </w:rPr>
        <w:t xml:space="preserve"> </w:t>
      </w:r>
    </w:p>
    <w:p w14:paraId="0E3DE416" w14:textId="77777777" w:rsidR="00BB2536" w:rsidRPr="00D74C8A" w:rsidRDefault="00BB2536" w:rsidP="00207F66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D74C8A">
        <w:rPr>
          <w:rFonts w:ascii="Times New Roman" w:hAnsi="Times New Roman" w:cs="Times New Roman"/>
          <w:b/>
          <w:bCs/>
          <w:sz w:val="24"/>
          <w:szCs w:val="24"/>
        </w:rPr>
        <w:t>Bourbon Tax Items:</w:t>
      </w:r>
    </w:p>
    <w:p w14:paraId="7763E107" w14:textId="77777777" w:rsidR="00BB2536" w:rsidRPr="00D74C8A" w:rsidRDefault="00BB2536" w:rsidP="00207F66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D74C8A">
        <w:rPr>
          <w:sz w:val="24"/>
          <w:szCs w:val="24"/>
        </w:rPr>
        <w:t>H.R. 40773 – Duty Drawback Clarification Act</w:t>
      </w:r>
    </w:p>
    <w:p w14:paraId="4DBCBCDB" w14:textId="72C2BCBA" w:rsidR="00BB2536" w:rsidRPr="00D74C8A" w:rsidRDefault="00BB2536" w:rsidP="00207F66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 w:rsidRPr="00D74C8A">
        <w:rPr>
          <w:sz w:val="24"/>
          <w:szCs w:val="24"/>
        </w:rPr>
        <w:t>This bill clarifies that all whiskey products are commercially interchangeable and eligible for the drawback program by creating a single 8-digit Harmonized Tarriff Schedule code for whiskeys.</w:t>
      </w:r>
    </w:p>
    <w:p w14:paraId="5CA60C60" w14:textId="77777777" w:rsidR="00BB2536" w:rsidRPr="00D74C8A" w:rsidRDefault="00BB2536" w:rsidP="00207F66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 w:rsidRPr="00D74C8A">
        <w:rPr>
          <w:sz w:val="24"/>
          <w:szCs w:val="24"/>
        </w:rPr>
        <w:t>Under the current HTS, spirits categories such as whiskeys, have several HTS numbers at the 8-digit level. For example, scotch Whiskey and Bourbon each have their own HTS codes at the 8-digit level, meaning these products are not “commercially interchangeable” for purposes of a drawback claim.</w:t>
      </w:r>
    </w:p>
    <w:p w14:paraId="2CFA6640" w14:textId="502B4271" w:rsidR="00701B10" w:rsidRPr="00D74C8A" w:rsidRDefault="00701B10" w:rsidP="00207F66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 w:rsidRPr="00D74C8A">
        <w:rPr>
          <w:sz w:val="24"/>
          <w:szCs w:val="24"/>
        </w:rPr>
        <w:t>Duty Drawback was created as an export</w:t>
      </w:r>
      <w:r w:rsidR="008C7FB9" w:rsidRPr="00D74C8A">
        <w:rPr>
          <w:sz w:val="24"/>
          <w:szCs w:val="24"/>
        </w:rPr>
        <w:t xml:space="preserve"> incentive, </w:t>
      </w:r>
      <w:r w:rsidR="00B10B39" w:rsidRPr="00D74C8A">
        <w:rPr>
          <w:sz w:val="24"/>
          <w:szCs w:val="24"/>
        </w:rPr>
        <w:t xml:space="preserve">so why would we not allow America’s Signature Spirit </w:t>
      </w:r>
      <w:r w:rsidR="005979E0" w:rsidRPr="00D74C8A">
        <w:rPr>
          <w:sz w:val="24"/>
          <w:szCs w:val="24"/>
        </w:rPr>
        <w:t xml:space="preserve">to </w:t>
      </w:r>
      <w:r w:rsidR="006C7646">
        <w:rPr>
          <w:sz w:val="24"/>
          <w:szCs w:val="24"/>
        </w:rPr>
        <w:t xml:space="preserve">compete on a level playing field? </w:t>
      </w:r>
      <w:r w:rsidR="005979E0" w:rsidRPr="00D74C8A">
        <w:rPr>
          <w:sz w:val="24"/>
          <w:szCs w:val="24"/>
        </w:rPr>
        <w:t xml:space="preserve"> </w:t>
      </w:r>
      <w:r w:rsidR="008C7FB9" w:rsidRPr="00D74C8A">
        <w:rPr>
          <w:sz w:val="24"/>
          <w:szCs w:val="24"/>
        </w:rPr>
        <w:t xml:space="preserve"> </w:t>
      </w:r>
    </w:p>
    <w:p w14:paraId="6935B183" w14:textId="77777777" w:rsidR="00BB2536" w:rsidRPr="00D74C8A" w:rsidRDefault="00BB2536" w:rsidP="00207F66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D74C8A">
        <w:rPr>
          <w:sz w:val="24"/>
          <w:szCs w:val="24"/>
        </w:rPr>
        <w:t>EU Trade Tariffs</w:t>
      </w:r>
    </w:p>
    <w:p w14:paraId="6750ED39" w14:textId="29F05C00" w:rsidR="0071150A" w:rsidRPr="00207F66" w:rsidRDefault="00BB2536" w:rsidP="00207F66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 w:rsidRPr="00D74C8A">
        <w:rPr>
          <w:sz w:val="24"/>
          <w:szCs w:val="24"/>
        </w:rPr>
        <w:t xml:space="preserve">We must secure the permanent return to zero-for-zero tariffs on spirits with the EU before the scheduled reintroduction of the 25% retaliatory tariff on American Whiskeys on </w:t>
      </w:r>
      <w:r w:rsidR="00653B60">
        <w:rPr>
          <w:sz w:val="24"/>
          <w:szCs w:val="24"/>
        </w:rPr>
        <w:t>March 31, 2025</w:t>
      </w:r>
      <w:r w:rsidRPr="00D74C8A">
        <w:rPr>
          <w:sz w:val="24"/>
          <w:szCs w:val="24"/>
        </w:rPr>
        <w:t>.</w:t>
      </w:r>
    </w:p>
    <w:p w14:paraId="1FE86935" w14:textId="2A9BE00B" w:rsidR="008A0132" w:rsidRDefault="00513F43" w:rsidP="00207F66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Rum Cover Over</w:t>
      </w:r>
    </w:p>
    <w:p w14:paraId="3DB7D5CE" w14:textId="0D57F6F7" w:rsidR="00513F43" w:rsidRDefault="000D2C77" w:rsidP="00207F66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The Rum Cover Over</w:t>
      </w:r>
      <w:r w:rsidR="003723B1">
        <w:rPr>
          <w:sz w:val="24"/>
          <w:szCs w:val="24"/>
        </w:rPr>
        <w:t xml:space="preserve"> has expired, </w:t>
      </w:r>
      <w:r w:rsidR="004A390F">
        <w:rPr>
          <w:sz w:val="24"/>
          <w:szCs w:val="24"/>
        </w:rPr>
        <w:t xml:space="preserve">and the </w:t>
      </w:r>
      <w:r>
        <w:rPr>
          <w:sz w:val="24"/>
          <w:szCs w:val="24"/>
        </w:rPr>
        <w:t>Virgin Islands</w:t>
      </w:r>
      <w:r w:rsidR="004A390F">
        <w:rPr>
          <w:sz w:val="24"/>
          <w:szCs w:val="24"/>
        </w:rPr>
        <w:t xml:space="preserve"> and P</w:t>
      </w:r>
      <w:r>
        <w:rPr>
          <w:sz w:val="24"/>
          <w:szCs w:val="24"/>
        </w:rPr>
        <w:t>uerto Rico</w:t>
      </w:r>
      <w:r w:rsidR="004A390F">
        <w:rPr>
          <w:sz w:val="24"/>
          <w:szCs w:val="24"/>
        </w:rPr>
        <w:t xml:space="preserve"> rum distilleries work in tandem with many of our US based </w:t>
      </w:r>
      <w:r>
        <w:rPr>
          <w:sz w:val="24"/>
          <w:szCs w:val="24"/>
        </w:rPr>
        <w:t>spirits-based</w:t>
      </w:r>
      <w:r w:rsidR="004A390F">
        <w:rPr>
          <w:sz w:val="24"/>
          <w:szCs w:val="24"/>
        </w:rPr>
        <w:t xml:space="preserve"> companies, including distilleries in</w:t>
      </w:r>
      <w:r w:rsidR="00B343F9">
        <w:rPr>
          <w:sz w:val="24"/>
          <w:szCs w:val="24"/>
        </w:rPr>
        <w:t xml:space="preserve"> Central Kentucky</w:t>
      </w:r>
      <w:r w:rsidR="004A390F">
        <w:rPr>
          <w:sz w:val="24"/>
          <w:szCs w:val="24"/>
        </w:rPr>
        <w:t xml:space="preserve">. </w:t>
      </w:r>
    </w:p>
    <w:p w14:paraId="14086539" w14:textId="1B889B0B" w:rsidR="00657DFF" w:rsidRDefault="00657DFF" w:rsidP="00207F66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territories </w:t>
      </w:r>
      <w:r w:rsidR="00094939">
        <w:rPr>
          <w:sz w:val="24"/>
          <w:szCs w:val="24"/>
        </w:rPr>
        <w:t xml:space="preserve">and the companies rely on the cover over to meet their fiscal obligations, making the cover over part of the tax package looking back to </w:t>
      </w:r>
      <w:r w:rsidR="000D2C77">
        <w:rPr>
          <w:sz w:val="24"/>
          <w:szCs w:val="24"/>
        </w:rPr>
        <w:t xml:space="preserve">2021 and forward would be the responsible course of action. </w:t>
      </w:r>
    </w:p>
    <w:p w14:paraId="74D38410" w14:textId="58CC7E5C" w:rsidR="00A13990" w:rsidRPr="00207F66" w:rsidRDefault="000D2C77" w:rsidP="00207F66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Extending the cover over would be beneficial not only to the territories, but also to the Commonwealth of Kentucky. </w:t>
      </w:r>
    </w:p>
    <w:sectPr w:rsidR="00A13990" w:rsidRPr="00207F66" w:rsidSect="000E5EE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51B9B"/>
    <w:multiLevelType w:val="hybridMultilevel"/>
    <w:tmpl w:val="91865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07D0C"/>
    <w:multiLevelType w:val="hybridMultilevel"/>
    <w:tmpl w:val="29D09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B0090E"/>
    <w:multiLevelType w:val="hybridMultilevel"/>
    <w:tmpl w:val="11C87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4015882">
    <w:abstractNumId w:val="1"/>
  </w:num>
  <w:num w:numId="2" w16cid:durableId="416830176">
    <w:abstractNumId w:val="2"/>
  </w:num>
  <w:num w:numId="3" w16cid:durableId="348220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64C"/>
    <w:rsid w:val="0003664C"/>
    <w:rsid w:val="00037C0B"/>
    <w:rsid w:val="0004118A"/>
    <w:rsid w:val="00041439"/>
    <w:rsid w:val="00067F0F"/>
    <w:rsid w:val="00094939"/>
    <w:rsid w:val="000C4231"/>
    <w:rsid w:val="000D2C77"/>
    <w:rsid w:val="000E5EEB"/>
    <w:rsid w:val="00124429"/>
    <w:rsid w:val="0013246E"/>
    <w:rsid w:val="001560CC"/>
    <w:rsid w:val="001F02A4"/>
    <w:rsid w:val="00207F66"/>
    <w:rsid w:val="00331907"/>
    <w:rsid w:val="003723B1"/>
    <w:rsid w:val="003A1509"/>
    <w:rsid w:val="00430C0D"/>
    <w:rsid w:val="004A3009"/>
    <w:rsid w:val="004A390F"/>
    <w:rsid w:val="004A6793"/>
    <w:rsid w:val="00513F43"/>
    <w:rsid w:val="005504B9"/>
    <w:rsid w:val="005979E0"/>
    <w:rsid w:val="005F586E"/>
    <w:rsid w:val="00653B60"/>
    <w:rsid w:val="00657DFF"/>
    <w:rsid w:val="00686C4D"/>
    <w:rsid w:val="006C7646"/>
    <w:rsid w:val="00701B10"/>
    <w:rsid w:val="0071150A"/>
    <w:rsid w:val="00743E93"/>
    <w:rsid w:val="007B6754"/>
    <w:rsid w:val="008A0132"/>
    <w:rsid w:val="008C7FB9"/>
    <w:rsid w:val="008E4A04"/>
    <w:rsid w:val="0091023D"/>
    <w:rsid w:val="0092168F"/>
    <w:rsid w:val="00A11F7C"/>
    <w:rsid w:val="00A13990"/>
    <w:rsid w:val="00A62AFF"/>
    <w:rsid w:val="00AC7EF0"/>
    <w:rsid w:val="00AE3B97"/>
    <w:rsid w:val="00B10B39"/>
    <w:rsid w:val="00B343F9"/>
    <w:rsid w:val="00B91CCF"/>
    <w:rsid w:val="00BB2536"/>
    <w:rsid w:val="00D0635C"/>
    <w:rsid w:val="00D51C38"/>
    <w:rsid w:val="00D609D0"/>
    <w:rsid w:val="00D74C8A"/>
    <w:rsid w:val="00DF74E8"/>
    <w:rsid w:val="00EB2BD6"/>
    <w:rsid w:val="00F37A06"/>
    <w:rsid w:val="00FD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6E1CC"/>
  <w15:chartTrackingRefBased/>
  <w15:docId w15:val="{C99E5066-593D-4F03-B159-643A11B36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536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66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66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66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66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66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66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66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66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66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0CC"/>
    <w:pPr>
      <w:spacing w:after="200" w:line="276" w:lineRule="auto"/>
      <w:ind w:left="720"/>
      <w:contextualSpacing/>
    </w:pPr>
    <w:rPr>
      <w:rFonts w:ascii="Times New Roman" w:hAnsi="Times New Roman" w:cs="Times New Roman"/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0366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6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66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66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66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66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66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66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66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66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66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66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66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66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664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366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66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66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66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402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Reineke, Jack</dc:creator>
  <cp:keywords/>
  <dc:description/>
  <cp:lastModifiedBy>Reineke, Jack</cp:lastModifiedBy>
  <cp:revision>50</cp:revision>
  <dcterms:created xsi:type="dcterms:W3CDTF">2025-01-14T16:26:00Z</dcterms:created>
  <dcterms:modified xsi:type="dcterms:W3CDTF">2025-01-17T20:01:00Z</dcterms:modified>
</cp:coreProperties>
</file>