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74AA" w14:textId="34AC1768" w:rsidR="00C8623C" w:rsidRPr="00BE060A" w:rsidRDefault="00C8623C" w:rsidP="002F1973">
      <w:pPr>
        <w:spacing w:after="0"/>
        <w:rPr>
          <w:sz w:val="48"/>
          <w:szCs w:val="48"/>
        </w:rPr>
      </w:pPr>
      <w:r w:rsidRPr="00BE060A">
        <w:rPr>
          <w:sz w:val="48"/>
          <w:szCs w:val="48"/>
        </w:rPr>
        <w:t xml:space="preserve">Thank you, Chairman Smith and Ranking Member Neal, for the opportunity to testify today. </w:t>
      </w:r>
    </w:p>
    <w:p w14:paraId="3D3FF09E" w14:textId="77777777" w:rsidR="002F1973" w:rsidRPr="00BE060A" w:rsidRDefault="002F1973" w:rsidP="002F1973">
      <w:pPr>
        <w:spacing w:after="0"/>
        <w:rPr>
          <w:sz w:val="48"/>
          <w:szCs w:val="48"/>
        </w:rPr>
      </w:pPr>
    </w:p>
    <w:p w14:paraId="3C922A4F" w14:textId="77777777" w:rsidR="002F1973" w:rsidRPr="00BE060A" w:rsidRDefault="002F1973" w:rsidP="002F1973">
      <w:pPr>
        <w:spacing w:after="0"/>
        <w:rPr>
          <w:sz w:val="48"/>
          <w:szCs w:val="48"/>
        </w:rPr>
      </w:pPr>
    </w:p>
    <w:p w14:paraId="7E8E7045" w14:textId="77777777" w:rsidR="002F1973" w:rsidRPr="00BE060A" w:rsidRDefault="002F1973" w:rsidP="002F1973">
      <w:pPr>
        <w:spacing w:after="0"/>
        <w:rPr>
          <w:sz w:val="48"/>
          <w:szCs w:val="48"/>
        </w:rPr>
      </w:pPr>
      <w:r w:rsidRPr="00BE060A">
        <w:rPr>
          <w:b/>
          <w:bCs/>
          <w:sz w:val="48"/>
          <w:szCs w:val="48"/>
        </w:rPr>
        <w:t>CHILD Act</w:t>
      </w:r>
      <w:r w:rsidRPr="00BE060A">
        <w:rPr>
          <w:sz w:val="48"/>
          <w:szCs w:val="48"/>
        </w:rPr>
        <w:t xml:space="preserve"> – Since the creation of Dependent Care FSA’s in 1986, the contribution limit has remained $5,000 dollars. With the ever-increasing cost of childcare and cumulative inflation measuring roughly 188% over the 39-year period since these accounts were created, relief is needed for American families. My legislation, The CHILD Act, co-led by Rep. Sanchez, proposes doubling the contribution limit to $10,000 and indexing for inflation annually. </w:t>
      </w:r>
    </w:p>
    <w:p w14:paraId="676578AE" w14:textId="77777777" w:rsidR="002F1973" w:rsidRPr="00BE060A" w:rsidRDefault="002F1973" w:rsidP="002F1973">
      <w:pPr>
        <w:spacing w:after="0"/>
        <w:ind w:left="2160"/>
        <w:rPr>
          <w:sz w:val="48"/>
          <w:szCs w:val="48"/>
        </w:rPr>
      </w:pPr>
    </w:p>
    <w:p w14:paraId="70528B9B" w14:textId="728C6175" w:rsidR="002F1973" w:rsidRPr="00BE060A" w:rsidRDefault="002F1973" w:rsidP="002F1973">
      <w:pPr>
        <w:tabs>
          <w:tab w:val="num" w:pos="720"/>
        </w:tabs>
        <w:spacing w:after="0"/>
        <w:rPr>
          <w:sz w:val="48"/>
          <w:szCs w:val="48"/>
        </w:rPr>
      </w:pPr>
      <w:r w:rsidRPr="00BE060A">
        <w:rPr>
          <w:b/>
          <w:bCs/>
          <w:sz w:val="48"/>
          <w:szCs w:val="48"/>
        </w:rPr>
        <w:t>Paid Family and Medical Leave Tax Credit Extension and Enhancement Act/45S</w:t>
      </w:r>
      <w:r w:rsidRPr="00BE060A">
        <w:rPr>
          <w:sz w:val="48"/>
          <w:szCs w:val="48"/>
        </w:rPr>
        <w:t xml:space="preserve"> – My friend from Iowa, Rep. Feenstra, has introduced legislation to extend and reform the 45S tax credit. This provision, which was in TCJA and expires at the end of this year, has helped many employers expand their paid family leave benefits for their workers. Rep. Feenstra’s bill not only makes the credit more flexible, but it also increases employer awareness and makes the tax credit permanent. As a mother of two daughters, I was thankful that my employer offered me paid family leave. We need to </w:t>
      </w:r>
      <w:r w:rsidRPr="00BE060A">
        <w:rPr>
          <w:sz w:val="48"/>
          <w:szCs w:val="48"/>
        </w:rPr>
        <w:lastRenderedPageBreak/>
        <w:t>incentivize employers to offer paid family leave, not mandate it. I want to thank Mr. Feenstra for leading this initiative, and I hope to see this tax credit permanently extended.</w:t>
      </w:r>
    </w:p>
    <w:p w14:paraId="404D90AA" w14:textId="77777777" w:rsidR="002F1973" w:rsidRPr="00BE060A" w:rsidRDefault="002F1973" w:rsidP="002F1973">
      <w:pPr>
        <w:spacing w:after="0"/>
        <w:rPr>
          <w:sz w:val="48"/>
          <w:szCs w:val="48"/>
        </w:rPr>
      </w:pPr>
    </w:p>
    <w:p w14:paraId="29C2AEB9" w14:textId="7AB39CED" w:rsidR="002F1973" w:rsidRPr="00BE060A" w:rsidRDefault="002F1973" w:rsidP="002F1973">
      <w:pPr>
        <w:spacing w:after="0"/>
        <w:rPr>
          <w:sz w:val="48"/>
          <w:szCs w:val="48"/>
        </w:rPr>
      </w:pPr>
      <w:r w:rsidRPr="00BE060A">
        <w:rPr>
          <w:b/>
          <w:bCs/>
          <w:sz w:val="48"/>
          <w:szCs w:val="48"/>
        </w:rPr>
        <w:t>I-PLAN</w:t>
      </w:r>
      <w:r w:rsidRPr="00BE060A">
        <w:rPr>
          <w:sz w:val="48"/>
          <w:szCs w:val="48"/>
        </w:rPr>
        <w:t xml:space="preserve"> – I-PLAN is intended to coordinate and harmonize paid leave benefits across states. While working on paid family leave, stakeholders continuously told my office they had to deal with a patchwork of regulations and requirements. Rep. Houlahan’s forthcoming legislation will help streamline this and help them navigate benefit programs.</w:t>
      </w:r>
    </w:p>
    <w:p w14:paraId="4CC9B298" w14:textId="77777777" w:rsidR="002F1973" w:rsidRPr="00BE060A" w:rsidRDefault="002F1973" w:rsidP="002F1973">
      <w:pPr>
        <w:spacing w:after="0"/>
        <w:rPr>
          <w:sz w:val="48"/>
          <w:szCs w:val="48"/>
        </w:rPr>
      </w:pPr>
    </w:p>
    <w:p w14:paraId="025424D0" w14:textId="77777777" w:rsidR="002F1973" w:rsidRPr="00BE060A" w:rsidRDefault="002F1973" w:rsidP="002F1973">
      <w:pPr>
        <w:spacing w:after="0"/>
        <w:rPr>
          <w:sz w:val="48"/>
          <w:szCs w:val="48"/>
        </w:rPr>
      </w:pPr>
    </w:p>
    <w:p w14:paraId="47A10E51" w14:textId="78AABEDF" w:rsidR="001B5B9B" w:rsidRPr="00BE060A" w:rsidRDefault="001B5B9B" w:rsidP="002F1973">
      <w:pPr>
        <w:spacing w:after="0"/>
        <w:rPr>
          <w:sz w:val="48"/>
          <w:szCs w:val="48"/>
        </w:rPr>
      </w:pPr>
      <w:r w:rsidRPr="00BE060A">
        <w:rPr>
          <w:sz w:val="48"/>
          <w:szCs w:val="48"/>
        </w:rPr>
        <w:t>I would</w:t>
      </w:r>
      <w:r w:rsidR="002F1973" w:rsidRPr="00BE060A">
        <w:rPr>
          <w:sz w:val="48"/>
          <w:szCs w:val="48"/>
        </w:rPr>
        <w:t xml:space="preserve"> also</w:t>
      </w:r>
      <w:r w:rsidRPr="00BE060A">
        <w:rPr>
          <w:sz w:val="48"/>
          <w:szCs w:val="48"/>
        </w:rPr>
        <w:t xml:space="preserve"> like to </w:t>
      </w:r>
      <w:r w:rsidR="002F1973" w:rsidRPr="00BE060A">
        <w:rPr>
          <w:sz w:val="48"/>
          <w:szCs w:val="48"/>
        </w:rPr>
        <w:t>submit</w:t>
      </w:r>
      <w:r w:rsidRPr="00BE060A">
        <w:rPr>
          <w:sz w:val="48"/>
          <w:szCs w:val="48"/>
        </w:rPr>
        <w:t xml:space="preserve"> the following articles for the record in support </w:t>
      </w:r>
      <w:r w:rsidR="002F1973" w:rsidRPr="00BE060A">
        <w:rPr>
          <w:sz w:val="48"/>
          <w:szCs w:val="48"/>
        </w:rPr>
        <w:t>of</w:t>
      </w:r>
      <w:r w:rsidRPr="00BE060A">
        <w:rPr>
          <w:sz w:val="48"/>
          <w:szCs w:val="48"/>
        </w:rPr>
        <w:t xml:space="preserve"> 199A, I</w:t>
      </w:r>
      <w:r w:rsidR="002F1973" w:rsidRPr="00BE060A">
        <w:rPr>
          <w:sz w:val="48"/>
          <w:szCs w:val="48"/>
        </w:rPr>
        <w:t xml:space="preserve">ntangible </w:t>
      </w:r>
      <w:r w:rsidRPr="00BE060A">
        <w:rPr>
          <w:sz w:val="48"/>
          <w:szCs w:val="48"/>
        </w:rPr>
        <w:t>D</w:t>
      </w:r>
      <w:r w:rsidR="002F1973" w:rsidRPr="00BE060A">
        <w:rPr>
          <w:sz w:val="48"/>
          <w:szCs w:val="48"/>
        </w:rPr>
        <w:t xml:space="preserve">rilling </w:t>
      </w:r>
      <w:r w:rsidRPr="00BE060A">
        <w:rPr>
          <w:sz w:val="48"/>
          <w:szCs w:val="48"/>
        </w:rPr>
        <w:t>C</w:t>
      </w:r>
      <w:r w:rsidR="002F1973" w:rsidRPr="00BE060A">
        <w:rPr>
          <w:sz w:val="48"/>
          <w:szCs w:val="48"/>
        </w:rPr>
        <w:t>osts</w:t>
      </w:r>
      <w:r w:rsidRPr="00BE060A">
        <w:rPr>
          <w:sz w:val="48"/>
          <w:szCs w:val="48"/>
        </w:rPr>
        <w:t xml:space="preserve">, Death Tax Repeal, and the R&amp;D tax credit. These </w:t>
      </w:r>
      <w:r w:rsidR="002F1973" w:rsidRPr="00BE060A">
        <w:rPr>
          <w:sz w:val="48"/>
          <w:szCs w:val="48"/>
        </w:rPr>
        <w:t>tax provisions</w:t>
      </w:r>
      <w:r w:rsidRPr="00BE060A">
        <w:rPr>
          <w:sz w:val="48"/>
          <w:szCs w:val="48"/>
        </w:rPr>
        <w:t xml:space="preserve"> are discussed in almost every meeting I have with constituents</w:t>
      </w:r>
      <w:r w:rsidR="002F1973" w:rsidRPr="00BE060A">
        <w:rPr>
          <w:sz w:val="48"/>
          <w:szCs w:val="48"/>
        </w:rPr>
        <w:t>,</w:t>
      </w:r>
      <w:r w:rsidRPr="00BE060A">
        <w:rPr>
          <w:sz w:val="48"/>
          <w:szCs w:val="48"/>
        </w:rPr>
        <w:t xml:space="preserve"> </w:t>
      </w:r>
      <w:r w:rsidRPr="00BE060A">
        <w:rPr>
          <w:sz w:val="48"/>
          <w:szCs w:val="48"/>
        </w:rPr>
        <w:lastRenderedPageBreak/>
        <w:t xml:space="preserve">and the repeal of the death tax and extension of </w:t>
      </w:r>
      <w:r w:rsidR="002F1973" w:rsidRPr="00BE060A">
        <w:rPr>
          <w:sz w:val="48"/>
          <w:szCs w:val="48"/>
        </w:rPr>
        <w:t xml:space="preserve">the </w:t>
      </w:r>
      <w:r w:rsidRPr="00BE060A">
        <w:rPr>
          <w:sz w:val="48"/>
          <w:szCs w:val="48"/>
        </w:rPr>
        <w:t>other credits will allow Main Street America to continue to grow and employ more Americans.</w:t>
      </w:r>
    </w:p>
    <w:p w14:paraId="4251890B" w14:textId="77777777" w:rsidR="001B5B9B" w:rsidRPr="00BE060A" w:rsidRDefault="001B5B9B" w:rsidP="002F1973">
      <w:pPr>
        <w:pStyle w:val="ListParagraph"/>
        <w:spacing w:after="0"/>
        <w:rPr>
          <w:sz w:val="48"/>
          <w:szCs w:val="48"/>
        </w:rPr>
      </w:pPr>
    </w:p>
    <w:p w14:paraId="672D0957" w14:textId="5D22092C" w:rsidR="006257C5" w:rsidRPr="00BE060A" w:rsidRDefault="006257C5" w:rsidP="002F1973">
      <w:pPr>
        <w:pStyle w:val="ListParagraph"/>
        <w:numPr>
          <w:ilvl w:val="0"/>
          <w:numId w:val="1"/>
        </w:numPr>
        <w:spacing w:after="0"/>
        <w:rPr>
          <w:sz w:val="48"/>
          <w:szCs w:val="48"/>
        </w:rPr>
      </w:pPr>
      <w:r w:rsidRPr="00BE060A">
        <w:rPr>
          <w:sz w:val="48"/>
          <w:szCs w:val="48"/>
        </w:rPr>
        <w:t xml:space="preserve">199A – </w:t>
      </w:r>
      <w:r w:rsidR="005824E5" w:rsidRPr="00BE060A">
        <w:rPr>
          <w:sz w:val="48"/>
          <w:szCs w:val="48"/>
        </w:rPr>
        <w:t>“</w:t>
      </w:r>
      <w:hyperlink r:id="rId5" w:history="1">
        <w:r w:rsidR="005824E5" w:rsidRPr="00BE060A">
          <w:rPr>
            <w:rStyle w:val="Hyperlink"/>
            <w:sz w:val="48"/>
            <w:szCs w:val="48"/>
          </w:rPr>
          <w:t>The end of this tax break could be ‘very disruptive’ to business owners, expert says</w:t>
        </w:r>
      </w:hyperlink>
      <w:r w:rsidR="005824E5" w:rsidRPr="00BE060A">
        <w:rPr>
          <w:sz w:val="48"/>
          <w:szCs w:val="48"/>
        </w:rPr>
        <w:t>”</w:t>
      </w:r>
    </w:p>
    <w:p w14:paraId="7435C083" w14:textId="46E50928" w:rsidR="006257C5" w:rsidRPr="00BE060A" w:rsidRDefault="006257C5" w:rsidP="00B15449">
      <w:pPr>
        <w:pStyle w:val="ListParagraph"/>
        <w:numPr>
          <w:ilvl w:val="0"/>
          <w:numId w:val="1"/>
        </w:numPr>
        <w:spacing w:after="0"/>
        <w:rPr>
          <w:sz w:val="48"/>
          <w:szCs w:val="48"/>
        </w:rPr>
      </w:pPr>
      <w:r w:rsidRPr="00BE060A">
        <w:rPr>
          <w:sz w:val="48"/>
          <w:szCs w:val="48"/>
        </w:rPr>
        <w:t xml:space="preserve">IDC – </w:t>
      </w:r>
      <w:r w:rsidR="001B5B9B" w:rsidRPr="00BE060A">
        <w:rPr>
          <w:sz w:val="48"/>
          <w:szCs w:val="48"/>
        </w:rPr>
        <w:t>“</w:t>
      </w:r>
      <w:hyperlink r:id="rId6" w:history="1">
        <w:r w:rsidR="00A70E85" w:rsidRPr="00BE060A">
          <w:rPr>
            <w:rStyle w:val="Hyperlink"/>
            <w:sz w:val="48"/>
            <w:szCs w:val="48"/>
          </w:rPr>
          <w:t>Intangible Drilling Costs</w:t>
        </w:r>
      </w:hyperlink>
      <w:r w:rsidR="001B5B9B" w:rsidRPr="00BE060A">
        <w:rPr>
          <w:sz w:val="48"/>
          <w:szCs w:val="48"/>
        </w:rPr>
        <w:t>”</w:t>
      </w:r>
    </w:p>
    <w:p w14:paraId="2ABB62A7" w14:textId="14DF7AF6" w:rsidR="006257C5" w:rsidRPr="00BE060A" w:rsidRDefault="006257C5" w:rsidP="002F1973">
      <w:pPr>
        <w:pStyle w:val="ListParagraph"/>
        <w:numPr>
          <w:ilvl w:val="0"/>
          <w:numId w:val="1"/>
        </w:numPr>
        <w:spacing w:after="0"/>
        <w:rPr>
          <w:sz w:val="48"/>
          <w:szCs w:val="48"/>
        </w:rPr>
      </w:pPr>
      <w:r w:rsidRPr="00BE060A">
        <w:rPr>
          <w:sz w:val="48"/>
          <w:szCs w:val="48"/>
        </w:rPr>
        <w:t>Death Tax Repeal –</w:t>
      </w:r>
      <w:r w:rsidR="002F1973" w:rsidRPr="00BE060A">
        <w:rPr>
          <w:sz w:val="48"/>
          <w:szCs w:val="48"/>
        </w:rPr>
        <w:t xml:space="preserve"> </w:t>
      </w:r>
      <w:r w:rsidR="001B5B9B" w:rsidRPr="00BE060A">
        <w:rPr>
          <w:sz w:val="48"/>
          <w:szCs w:val="48"/>
        </w:rPr>
        <w:t>“</w:t>
      </w:r>
      <w:hyperlink r:id="rId7" w:history="1">
        <w:r w:rsidR="001B5B9B" w:rsidRPr="00BE060A">
          <w:rPr>
            <w:rStyle w:val="Hyperlink"/>
            <w:sz w:val="48"/>
            <w:szCs w:val="48"/>
          </w:rPr>
          <w:t>NCBA Continues to Push for Death Tax Relief</w:t>
        </w:r>
      </w:hyperlink>
      <w:r w:rsidR="001B5B9B" w:rsidRPr="00BE060A">
        <w:rPr>
          <w:sz w:val="48"/>
          <w:szCs w:val="48"/>
        </w:rPr>
        <w:t>.”</w:t>
      </w:r>
    </w:p>
    <w:p w14:paraId="4B2AB392" w14:textId="5C0F7B45" w:rsidR="006257C5" w:rsidRPr="00BE060A" w:rsidRDefault="006257C5" w:rsidP="00BE060A">
      <w:pPr>
        <w:pStyle w:val="ListParagraph"/>
        <w:numPr>
          <w:ilvl w:val="0"/>
          <w:numId w:val="1"/>
        </w:numPr>
        <w:spacing w:after="0"/>
        <w:rPr>
          <w:sz w:val="48"/>
          <w:szCs w:val="48"/>
        </w:rPr>
      </w:pPr>
      <w:r w:rsidRPr="00BE060A">
        <w:rPr>
          <w:sz w:val="48"/>
          <w:szCs w:val="48"/>
        </w:rPr>
        <w:t xml:space="preserve">R&amp;D Tax Credit – </w:t>
      </w:r>
      <w:r w:rsidR="002F1973" w:rsidRPr="00BE060A">
        <w:rPr>
          <w:sz w:val="48"/>
          <w:szCs w:val="48"/>
        </w:rPr>
        <w:t>“</w:t>
      </w:r>
      <w:hyperlink r:id="rId8" w:history="1">
        <w:r w:rsidR="002F1973" w:rsidRPr="00BE060A">
          <w:rPr>
            <w:rStyle w:val="Hyperlink"/>
            <w:sz w:val="48"/>
            <w:szCs w:val="48"/>
          </w:rPr>
          <w:t>R&amp;D Under Attack</w:t>
        </w:r>
      </w:hyperlink>
      <w:r w:rsidR="002F1973" w:rsidRPr="00BE060A">
        <w:rPr>
          <w:sz w:val="48"/>
          <w:szCs w:val="48"/>
        </w:rPr>
        <w:t>”</w:t>
      </w:r>
    </w:p>
    <w:sectPr w:rsidR="006257C5" w:rsidRPr="00BE0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06AC1"/>
    <w:multiLevelType w:val="hybridMultilevel"/>
    <w:tmpl w:val="8E747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7D356C"/>
    <w:multiLevelType w:val="multilevel"/>
    <w:tmpl w:val="38708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C317B8"/>
    <w:multiLevelType w:val="multilevel"/>
    <w:tmpl w:val="4356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16940"/>
    <w:multiLevelType w:val="multilevel"/>
    <w:tmpl w:val="F08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227373">
    <w:abstractNumId w:val="0"/>
  </w:num>
  <w:num w:numId="2" w16cid:durableId="639380301">
    <w:abstractNumId w:val="1"/>
  </w:num>
  <w:num w:numId="3" w16cid:durableId="146016782">
    <w:abstractNumId w:val="3"/>
  </w:num>
  <w:num w:numId="4" w16cid:durableId="1051149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3C"/>
    <w:rsid w:val="001B2027"/>
    <w:rsid w:val="001B5B9B"/>
    <w:rsid w:val="002F1973"/>
    <w:rsid w:val="00453C8E"/>
    <w:rsid w:val="005824E5"/>
    <w:rsid w:val="005E5715"/>
    <w:rsid w:val="006257C5"/>
    <w:rsid w:val="0063020F"/>
    <w:rsid w:val="006D17C9"/>
    <w:rsid w:val="007A4867"/>
    <w:rsid w:val="00940867"/>
    <w:rsid w:val="00A5504C"/>
    <w:rsid w:val="00A70E85"/>
    <w:rsid w:val="00AB43B1"/>
    <w:rsid w:val="00BE060A"/>
    <w:rsid w:val="00C8623C"/>
    <w:rsid w:val="00D9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0957"/>
  <w15:chartTrackingRefBased/>
  <w15:docId w15:val="{98A7C78E-1DC0-48D0-8850-382D865C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2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62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62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62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62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6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2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62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62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62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62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6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23C"/>
    <w:rPr>
      <w:rFonts w:eastAsiaTheme="majorEastAsia" w:cstheme="majorBidi"/>
      <w:color w:val="272727" w:themeColor="text1" w:themeTint="D8"/>
    </w:rPr>
  </w:style>
  <w:style w:type="paragraph" w:styleId="Title">
    <w:name w:val="Title"/>
    <w:basedOn w:val="Normal"/>
    <w:next w:val="Normal"/>
    <w:link w:val="TitleChar"/>
    <w:uiPriority w:val="10"/>
    <w:qFormat/>
    <w:rsid w:val="00C86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23C"/>
    <w:pPr>
      <w:spacing w:before="160"/>
      <w:jc w:val="center"/>
    </w:pPr>
    <w:rPr>
      <w:i/>
      <w:iCs/>
      <w:color w:val="404040" w:themeColor="text1" w:themeTint="BF"/>
    </w:rPr>
  </w:style>
  <w:style w:type="character" w:customStyle="1" w:styleId="QuoteChar">
    <w:name w:val="Quote Char"/>
    <w:basedOn w:val="DefaultParagraphFont"/>
    <w:link w:val="Quote"/>
    <w:uiPriority w:val="29"/>
    <w:rsid w:val="00C8623C"/>
    <w:rPr>
      <w:i/>
      <w:iCs/>
      <w:color w:val="404040" w:themeColor="text1" w:themeTint="BF"/>
    </w:rPr>
  </w:style>
  <w:style w:type="paragraph" w:styleId="ListParagraph">
    <w:name w:val="List Paragraph"/>
    <w:basedOn w:val="Normal"/>
    <w:uiPriority w:val="34"/>
    <w:qFormat/>
    <w:rsid w:val="00C8623C"/>
    <w:pPr>
      <w:ind w:left="720"/>
      <w:contextualSpacing/>
    </w:pPr>
  </w:style>
  <w:style w:type="character" w:styleId="IntenseEmphasis">
    <w:name w:val="Intense Emphasis"/>
    <w:basedOn w:val="DefaultParagraphFont"/>
    <w:uiPriority w:val="21"/>
    <w:qFormat/>
    <w:rsid w:val="00C8623C"/>
    <w:rPr>
      <w:i/>
      <w:iCs/>
      <w:color w:val="2F5496" w:themeColor="accent1" w:themeShade="BF"/>
    </w:rPr>
  </w:style>
  <w:style w:type="paragraph" w:styleId="IntenseQuote">
    <w:name w:val="Intense Quote"/>
    <w:basedOn w:val="Normal"/>
    <w:next w:val="Normal"/>
    <w:link w:val="IntenseQuoteChar"/>
    <w:uiPriority w:val="30"/>
    <w:qFormat/>
    <w:rsid w:val="00C86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623C"/>
    <w:rPr>
      <w:i/>
      <w:iCs/>
      <w:color w:val="2F5496" w:themeColor="accent1" w:themeShade="BF"/>
    </w:rPr>
  </w:style>
  <w:style w:type="character" w:styleId="IntenseReference">
    <w:name w:val="Intense Reference"/>
    <w:basedOn w:val="DefaultParagraphFont"/>
    <w:uiPriority w:val="32"/>
    <w:qFormat/>
    <w:rsid w:val="00C8623C"/>
    <w:rPr>
      <w:b/>
      <w:bCs/>
      <w:smallCaps/>
      <w:color w:val="2F5496" w:themeColor="accent1" w:themeShade="BF"/>
      <w:spacing w:val="5"/>
    </w:rPr>
  </w:style>
  <w:style w:type="character" w:styleId="Hyperlink">
    <w:name w:val="Hyperlink"/>
    <w:basedOn w:val="DefaultParagraphFont"/>
    <w:uiPriority w:val="99"/>
    <w:unhideWhenUsed/>
    <w:rsid w:val="005824E5"/>
    <w:rPr>
      <w:color w:val="0563C1" w:themeColor="hyperlink"/>
      <w:u w:val="single"/>
    </w:rPr>
  </w:style>
  <w:style w:type="character" w:styleId="UnresolvedMention">
    <w:name w:val="Unresolved Mention"/>
    <w:basedOn w:val="DefaultParagraphFont"/>
    <w:uiPriority w:val="99"/>
    <w:semiHidden/>
    <w:unhideWhenUsed/>
    <w:rsid w:val="0058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594814">
      <w:bodyDiv w:val="1"/>
      <w:marLeft w:val="0"/>
      <w:marRight w:val="0"/>
      <w:marTop w:val="0"/>
      <w:marBottom w:val="0"/>
      <w:divBdr>
        <w:top w:val="none" w:sz="0" w:space="0" w:color="auto"/>
        <w:left w:val="none" w:sz="0" w:space="0" w:color="auto"/>
        <w:bottom w:val="none" w:sz="0" w:space="0" w:color="auto"/>
        <w:right w:val="none" w:sz="0" w:space="0" w:color="auto"/>
      </w:divBdr>
    </w:div>
    <w:div w:id="18475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if.org/publications/2024/12/20/r&amp;d-under-attack-loss-of-immediate-expensing-reduces-innovation-inputs/" TargetMode="External"/><Relationship Id="rId3" Type="http://schemas.openxmlformats.org/officeDocument/2006/relationships/settings" Target="settings.xml"/><Relationship Id="rId7" Type="http://schemas.openxmlformats.org/officeDocument/2006/relationships/hyperlink" Target="https://www.ncba.org/ncba-news/news-releases/news/details/36335/ncba-continues-to-push-for-death-tax-reli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rgytaxfacts.com/issues/intangible-drilling-costs/" TargetMode="External"/><Relationship Id="rId5" Type="http://schemas.openxmlformats.org/officeDocument/2006/relationships/hyperlink" Target="https://www.cnbc.com/2024/07/16/qualified-business-income-deduction-could-expir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 Robert</dc:creator>
  <cp:keywords/>
  <dc:description/>
  <cp:lastModifiedBy>Sar, Robert</cp:lastModifiedBy>
  <cp:revision>3</cp:revision>
  <cp:lastPrinted>2025-01-21T22:24:00Z</cp:lastPrinted>
  <dcterms:created xsi:type="dcterms:W3CDTF">2025-01-21T22:30:00Z</dcterms:created>
  <dcterms:modified xsi:type="dcterms:W3CDTF">2025-01-21T22:30:00Z</dcterms:modified>
</cp:coreProperties>
</file>